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6" w:rsidRDefault="004649AA" w:rsidP="004649AA">
      <w:pPr>
        <w:pStyle w:val="Ttulo"/>
        <w:tabs>
          <w:tab w:val="left" w:pos="142"/>
        </w:tabs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Superintendencia de Policía Científica</w:t>
      </w:r>
    </w:p>
    <w:p w:rsidR="00274056" w:rsidRDefault="0094357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B3059B1" wp14:editId="48ED9EE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l="0" t="0" r="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389384"/>
                          <a:chOff x="2311650" y="3594575"/>
                          <a:chExt cx="6068700" cy="370850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274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056" w:rsidRDefault="0030756A">
                                <w:pPr>
                                  <w:spacing w:before="160"/>
                                  <w:ind w:left="27" w:firstLine="27"/>
                                  <w:textDirection w:val="btLr"/>
                                </w:pPr>
                                <w:r w:rsidRPr="0030756A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Curso guía de can con orientación en criminalística</w:t>
                                </w:r>
                                <w:r w:rsidR="00A350B6">
                                  <w:rPr>
                                    <w:rFonts w:ascii="Arial" w:eastAsia="Arial" w:hAnsi="Arial" w:cs="Arial"/>
                                    <w:color w:val="000000"/>
                                    <w:sz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2 Grupo" o:spid="_x0000_s1026" style="position:absolute;margin-left:5pt;margin-top:13pt;width:477.85pt;height:30.65pt;z-index:251658240;mso-wrap-distance-left:0;mso-wrap-distance-right:0" coordorigin="23116,35945" coordsize="6068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">
                <v:group id="1 Grupo" o:spid="_x0000_s1027" style="position:absolute;left:23116;top:35945;width:60687;height:3709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74056" w:rsidRDefault="00274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width:6068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74056" w:rsidRDefault="0030756A">
                          <w:pPr>
                            <w:spacing w:before="160"/>
                            <w:ind w:left="27" w:firstLine="27"/>
                            <w:textDirection w:val="btLr"/>
                          </w:pPr>
                          <w:r w:rsidRPr="0030756A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Curso guía de can con orientación en criminalística</w:t>
                          </w:r>
                          <w:r w:rsidR="00A350B6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24"/>
          <w:szCs w:val="24"/>
        </w:rPr>
      </w:pPr>
    </w:p>
    <w:p w:rsidR="00274056" w:rsidRDefault="004649AA" w:rsidP="004649AA">
      <w:pPr>
        <w:pStyle w:val="Ttulo1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43578">
        <w:rPr>
          <w:rFonts w:ascii="Arial" w:eastAsia="Arial" w:hAnsi="Arial" w:cs="Arial"/>
          <w:sz w:val="22"/>
          <w:szCs w:val="22"/>
        </w:rPr>
        <w:t>Descripción:</w:t>
      </w:r>
    </w:p>
    <w:p w:rsidR="00274056" w:rsidRDefault="007D3054" w:rsidP="007D305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3" w:right="135"/>
        <w:jc w:val="both"/>
        <w:rPr>
          <w:rFonts w:ascii="Arial" w:eastAsia="Arial" w:hAnsi="Arial" w:cs="Arial"/>
          <w:color w:val="000000"/>
        </w:rPr>
      </w:pPr>
      <w:r w:rsidRPr="007D3054">
        <w:rPr>
          <w:rFonts w:ascii="Arial" w:eastAsia="Arial" w:hAnsi="Arial" w:cs="Arial"/>
          <w:color w:val="000000"/>
        </w:rPr>
        <w:t>La base de este curso se centra en formar profesionales para poder desenvolverse en todos los ámbitos en los que se requi</w:t>
      </w:r>
      <w:r w:rsidR="0057540E">
        <w:rPr>
          <w:rFonts w:ascii="Arial" w:eastAsia="Arial" w:hAnsi="Arial" w:cs="Arial"/>
          <w:color w:val="000000"/>
        </w:rPr>
        <w:t xml:space="preserve">era la utilización del can. Su objetivo es </w:t>
      </w:r>
      <w:r w:rsidRPr="007D3054">
        <w:rPr>
          <w:rFonts w:ascii="Arial" w:eastAsia="Arial" w:hAnsi="Arial" w:cs="Arial"/>
          <w:color w:val="000000"/>
        </w:rPr>
        <w:t>formar al personal en lo que refiere a ser un guía de canes, de forma integral a la especialidad que llevará adelante como así también, contar con una cantidad determinada, en toda la provincia para cubrir las necesidades periciales en la búsqueda de personas</w:t>
      </w:r>
      <w:r>
        <w:rPr>
          <w:rFonts w:ascii="Arial" w:eastAsia="Arial" w:hAnsi="Arial" w:cs="Arial"/>
          <w:color w:val="000000"/>
        </w:rPr>
        <w:t>. E</w:t>
      </w:r>
      <w:r w:rsidRPr="007D3054">
        <w:rPr>
          <w:rFonts w:ascii="Arial" w:eastAsia="Arial" w:hAnsi="Arial" w:cs="Arial"/>
          <w:color w:val="000000"/>
        </w:rPr>
        <w:t xml:space="preserve">sta propuesta tiene como fin dar un abordaje integral a la formación, donde también adquirirá conocimientos veterinarios, en criminalística, en medicina legal, en ciencias naturales, cartografía, en preparación física, antropología y en criminología. </w:t>
      </w:r>
      <w:r>
        <w:rPr>
          <w:rFonts w:ascii="Arial" w:eastAsia="Arial" w:hAnsi="Arial" w:cs="Arial"/>
          <w:color w:val="000000"/>
        </w:rPr>
        <w:t xml:space="preserve"> </w:t>
      </w:r>
    </w:p>
    <w:p w:rsidR="0057540E" w:rsidRDefault="0057540E" w:rsidP="007D305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3" w:right="135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274056" w:rsidRDefault="00943578" w:rsidP="004649AA">
      <w:pPr>
        <w:pStyle w:val="Ttulo1"/>
        <w:spacing w:before="1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860AC7" w:rsidRPr="00860AC7" w:rsidRDefault="007D3054" w:rsidP="007D3054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42"/>
        <w:jc w:val="both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>P</w:t>
      </w:r>
      <w:r w:rsidRPr="007D3054">
        <w:rPr>
          <w:rFonts w:ascii="Arial" w:eastAsia="Arial" w:hAnsi="Arial" w:cs="Arial"/>
          <w:color w:val="000000"/>
          <w:lang w:val="es-AR"/>
        </w:rPr>
        <w:t xml:space="preserve">ersonal perteneciente a las Policías de la provincia de </w:t>
      </w:r>
      <w:r>
        <w:rPr>
          <w:rFonts w:ascii="Arial" w:eastAsia="Arial" w:hAnsi="Arial" w:cs="Arial"/>
          <w:color w:val="000000"/>
          <w:lang w:val="es-AR"/>
        </w:rPr>
        <w:t xml:space="preserve">Buenos Aires, sin distinción de </w:t>
      </w:r>
      <w:r w:rsidRPr="007D3054">
        <w:rPr>
          <w:rFonts w:ascii="Arial" w:eastAsia="Arial" w:hAnsi="Arial" w:cs="Arial"/>
          <w:color w:val="000000"/>
          <w:lang w:val="es-AR"/>
        </w:rPr>
        <w:t xml:space="preserve">agrupamiento y </w:t>
      </w:r>
      <w:proofErr w:type="spellStart"/>
      <w:r w:rsidRPr="007D3054">
        <w:rPr>
          <w:rFonts w:ascii="Arial" w:eastAsia="Arial" w:hAnsi="Arial" w:cs="Arial"/>
          <w:color w:val="000000"/>
          <w:lang w:val="es-AR"/>
        </w:rPr>
        <w:t>subescalafón</w:t>
      </w:r>
      <w:proofErr w:type="spellEnd"/>
      <w:r w:rsidRPr="007D3054">
        <w:rPr>
          <w:rFonts w:ascii="Arial" w:eastAsia="Arial" w:hAnsi="Arial" w:cs="Arial"/>
          <w:color w:val="000000"/>
          <w:lang w:val="es-AR"/>
        </w:rPr>
        <w:t>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>
        <w:rPr>
          <w:rFonts w:ascii="Arial" w:eastAsia="Arial" w:hAnsi="Arial" w:cs="Arial"/>
        </w:rPr>
        <w:t>virtual.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Carga horaria: </w:t>
      </w:r>
      <w:r w:rsidR="00A350B6">
        <w:rPr>
          <w:rFonts w:ascii="Arial" w:eastAsia="Arial" w:hAnsi="Arial" w:cs="Arial"/>
        </w:rPr>
        <w:t xml:space="preserve">48 </w:t>
      </w:r>
      <w:r>
        <w:rPr>
          <w:rFonts w:ascii="Arial" w:eastAsia="Arial" w:hAnsi="Arial" w:cs="Arial"/>
        </w:rPr>
        <w:t>horas reloj.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eastAsia="Arial" w:hAnsi="Arial" w:cs="Arial"/>
          <w:color w:val="000000"/>
        </w:rPr>
      </w:pPr>
    </w:p>
    <w:p w:rsidR="00274056" w:rsidRPr="00E645D2" w:rsidRDefault="00943578" w:rsidP="004649AA">
      <w:pPr>
        <w:pStyle w:val="Ttulo1"/>
        <w:spacing w:line="360" w:lineRule="auto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E645D2" w:rsidRPr="00E645D2">
        <w:rPr>
          <w:rFonts w:ascii="Arial" w:eastAsia="Arial" w:hAnsi="Arial" w:cs="Arial"/>
          <w:b w:val="0"/>
          <w:sz w:val="22"/>
          <w:szCs w:val="22"/>
        </w:rPr>
        <w:t>1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Fecha de inicio y finalización: </w:t>
      </w:r>
      <w:r w:rsidR="00A350B6" w:rsidRPr="00A350B6">
        <w:rPr>
          <w:rFonts w:ascii="Arial" w:eastAsia="Arial" w:hAnsi="Arial" w:cs="Arial"/>
          <w:lang w:val="es-AR" w:eastAsia="es-AR"/>
        </w:rPr>
        <w:t>segunda semana de agosto hasta septiembre 2025.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spacing w:line="36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Cupo: </w:t>
      </w:r>
      <w:r w:rsidR="00860AC7">
        <w:rPr>
          <w:rFonts w:ascii="Arial" w:eastAsia="Arial" w:hAnsi="Arial" w:cs="Arial"/>
        </w:rPr>
        <w:t>5</w:t>
      </w:r>
      <w:r w:rsidR="00E645D2">
        <w:rPr>
          <w:rFonts w:ascii="Arial" w:eastAsia="Arial" w:hAnsi="Arial" w:cs="Arial"/>
        </w:rPr>
        <w:t>0 por edición.</w:t>
      </w:r>
    </w:p>
    <w:p w:rsidR="00274056" w:rsidRDefault="00274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74056" w:rsidRDefault="00943578">
      <w:pPr>
        <w:pStyle w:val="Ttulo1"/>
        <w:spacing w:line="360" w:lineRule="auto"/>
        <w:ind w:left="1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Correo electrónico: </w:t>
      </w:r>
      <w:r w:rsidR="004649AA" w:rsidRPr="004649AA">
        <w:rPr>
          <w:rFonts w:ascii="Arial" w:eastAsia="Arial" w:hAnsi="Arial" w:cs="Arial"/>
          <w:color w:val="000000"/>
        </w:rPr>
        <w:t>cursospacspc@gmail.com</w:t>
      </w:r>
    </w:p>
    <w:p w:rsidR="00274056" w:rsidRDefault="00943578" w:rsidP="0046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42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  <w:r w:rsidR="004649AA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4649AA" w:rsidRPr="004649AA">
        <w:rPr>
          <w:rFonts w:ascii="Arial" w:eastAsia="Arial" w:hAnsi="Arial" w:cs="Arial"/>
          <w:color w:val="000000"/>
        </w:rPr>
        <w:t>(0221) 423-4037</w:t>
      </w:r>
      <w:r>
        <w:rPr>
          <w:rFonts w:ascii="Arial" w:eastAsia="Arial" w:hAnsi="Arial" w:cs="Arial"/>
          <w:color w:val="000000"/>
        </w:rPr>
        <w:t>.</w:t>
      </w:r>
    </w:p>
    <w:sectPr w:rsidR="00274056" w:rsidSect="004649AA">
      <w:pgSz w:w="11910" w:h="16840"/>
      <w:pgMar w:top="1418" w:right="1134" w:bottom="1418" w:left="1418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F40"/>
    <w:multiLevelType w:val="multilevel"/>
    <w:tmpl w:val="56ECEC14"/>
    <w:lvl w:ilvl="0"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056"/>
    <w:rsid w:val="00274056"/>
    <w:rsid w:val="0030756A"/>
    <w:rsid w:val="004649AA"/>
    <w:rsid w:val="004C6F90"/>
    <w:rsid w:val="0057540E"/>
    <w:rsid w:val="007D3054"/>
    <w:rsid w:val="00860AC7"/>
    <w:rsid w:val="00943578"/>
    <w:rsid w:val="00A350B6"/>
    <w:rsid w:val="00AF564D"/>
    <w:rsid w:val="00CD6A10"/>
    <w:rsid w:val="00D93559"/>
    <w:rsid w:val="00E645D2"/>
    <w:rsid w:val="00EE538E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Carlos Gastón Ochoa</cp:lastModifiedBy>
  <cp:revision>3</cp:revision>
  <dcterms:created xsi:type="dcterms:W3CDTF">2025-04-29T16:54:00Z</dcterms:created>
  <dcterms:modified xsi:type="dcterms:W3CDTF">2025-04-29T17:16:00Z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